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56" w:rsidRPr="00571856" w:rsidRDefault="00571856">
      <w:pPr>
        <w:rPr>
          <w:rFonts w:ascii="Times New Roman" w:hAnsi="Times New Roman" w:cs="Times New Roman"/>
          <w:b/>
          <w:sz w:val="24"/>
          <w:szCs w:val="24"/>
        </w:rPr>
      </w:pPr>
      <w:r w:rsidRPr="00571856">
        <w:rPr>
          <w:rFonts w:ascii="Times New Roman" w:hAnsi="Times New Roman" w:cs="Times New Roman"/>
          <w:b/>
          <w:sz w:val="24"/>
          <w:szCs w:val="24"/>
        </w:rPr>
        <w:t>Группа СЭ-23-110</w:t>
      </w:r>
    </w:p>
    <w:p w:rsidR="00571856" w:rsidRPr="00571856" w:rsidRDefault="005718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856">
        <w:rPr>
          <w:rFonts w:ascii="Times New Roman" w:hAnsi="Times New Roman" w:cs="Times New Roman"/>
          <w:b/>
          <w:sz w:val="24"/>
          <w:szCs w:val="24"/>
          <w:u w:val="single"/>
        </w:rPr>
        <w:t>Дата 13.12.2023</w:t>
      </w:r>
    </w:p>
    <w:p w:rsidR="009C0D64" w:rsidRDefault="00571856" w:rsidP="00571856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856">
        <w:rPr>
          <w:rFonts w:ascii="Times New Roman" w:hAnsi="Times New Roman" w:cs="Times New Roman"/>
          <w:b/>
          <w:sz w:val="24"/>
          <w:szCs w:val="24"/>
        </w:rPr>
        <w:t>Тема: Развитие культуры в 1914-1930-х гг.</w:t>
      </w:r>
    </w:p>
    <w:p w:rsidR="00571856" w:rsidRDefault="00571856" w:rsidP="005718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71856" w:rsidRPr="00571856" w:rsidRDefault="00571856" w:rsidP="00571856">
      <w:pPr>
        <w:tabs>
          <w:tab w:val="left" w:pos="3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71856">
        <w:rPr>
          <w:rFonts w:ascii="Times New Roman" w:hAnsi="Times New Roman" w:cs="Times New Roman"/>
          <w:b/>
          <w:sz w:val="24"/>
          <w:szCs w:val="24"/>
        </w:rPr>
        <w:t xml:space="preserve"> Изучите материал по теме</w:t>
      </w:r>
      <w:bookmarkStart w:id="0" w:name="_GoBack"/>
      <w:bookmarkEnd w:id="0"/>
    </w:p>
    <w:p w:rsidR="00571856" w:rsidRPr="00571856" w:rsidRDefault="00571856" w:rsidP="005718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1856">
        <w:rPr>
          <w:rFonts w:ascii="Times New Roman" w:hAnsi="Times New Roman" w:cs="Times New Roman"/>
          <w:color w:val="000000"/>
          <w:sz w:val="24"/>
          <w:szCs w:val="24"/>
        </w:rPr>
        <w:t xml:space="preserve">2. Посмотрите видео по теме  </w:t>
      </w:r>
      <w:hyperlink r:id="rId8" w:history="1">
        <w:r w:rsidRPr="00571856">
          <w:rPr>
            <w:rStyle w:val="a4"/>
            <w:rFonts w:ascii="Times New Roman" w:hAnsi="Times New Roman" w:cs="Times New Roman"/>
            <w:sz w:val="24"/>
            <w:szCs w:val="24"/>
          </w:rPr>
          <w:t>https://youtu.be/8nY3zcKAsss</w:t>
        </w:r>
      </w:hyperlink>
      <w:r w:rsidRPr="00571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1856" w:rsidRPr="00571856" w:rsidRDefault="00571856" w:rsidP="00571856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</w:rPr>
      </w:pPr>
      <w:r w:rsidRPr="00571856">
        <w:rPr>
          <w:rFonts w:ascii="Times New Roman" w:hAnsi="Times New Roman" w:cs="Times New Roman"/>
          <w:color w:val="000000"/>
          <w:sz w:val="24"/>
          <w:szCs w:val="24"/>
        </w:rPr>
        <w:t xml:space="preserve">3.Составьте таблицу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71856">
        <w:rPr>
          <w:rFonts w:ascii="Times New Roman" w:hAnsi="Times New Roman" w:cs="Times New Roman"/>
          <w:b/>
          <w:sz w:val="24"/>
          <w:szCs w:val="24"/>
        </w:rPr>
        <w:t xml:space="preserve">Развитие культуры в 1914-1930-х </w:t>
      </w:r>
      <w:proofErr w:type="spellStart"/>
      <w:proofErr w:type="gramStart"/>
      <w:r w:rsidRPr="00571856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71856">
        <w:rPr>
          <w:rFonts w:ascii="Times New Roman" w:hAnsi="Times New Roman" w:cs="Times New Roman"/>
          <w:b/>
          <w:sz w:val="24"/>
          <w:szCs w:val="24"/>
        </w:rPr>
        <w:t>.</w:t>
      </w:r>
    </w:p>
    <w:p w:rsidR="00571856" w:rsidRPr="00571856" w:rsidRDefault="00571856" w:rsidP="00571856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3"/>
        <w:gridCol w:w="2298"/>
        <w:gridCol w:w="2474"/>
        <w:gridCol w:w="3190"/>
      </w:tblGrid>
      <w:tr w:rsidR="00571856" w:rsidRPr="00571856" w:rsidTr="0057185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56" w:rsidRPr="00571856" w:rsidRDefault="00571856" w:rsidP="005718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культуры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56" w:rsidRPr="00571856" w:rsidRDefault="00571856" w:rsidP="005718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56" w:rsidRPr="00571856" w:rsidRDefault="00571856" w:rsidP="005718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 стиля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56" w:rsidRPr="00571856" w:rsidRDefault="00571856" w:rsidP="005718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Известные произведения стиля</w:t>
            </w:r>
          </w:p>
        </w:tc>
      </w:tr>
      <w:tr w:rsidR="00571856" w:rsidRPr="00571856" w:rsidTr="0057185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56" w:rsidRPr="00571856" w:rsidRDefault="00571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56" w:rsidRPr="00571856" w:rsidRDefault="00571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856" w:rsidRPr="00571856" w:rsidRDefault="00571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856" w:rsidRPr="00571856" w:rsidRDefault="00571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56" w:rsidRPr="00571856" w:rsidRDefault="00571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56" w:rsidRPr="00571856" w:rsidRDefault="00571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856" w:rsidRPr="00571856" w:rsidRDefault="00571856" w:rsidP="0057185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04F1" w:rsidRPr="003204F1" w:rsidRDefault="003204F1" w:rsidP="003204F1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3204F1">
        <w:t xml:space="preserve">В первые десятилетия XX в. в среде европейской интеллигенции возникли ощущения кризиса и распада окружающего мира, предчувствие близких перемен и даже конца существующего порядка вещей. Тогда русский философ Н. А. Бердяев написал сочинение с примечательным названием «Конец Европы», а немец О. Шпенглер — книгу «Закат Европы» (в буквальном переводе — «Закат западного мира»), которая приобрела широкую известность после мировой войны. В этих работах развенчивались </w:t>
      </w:r>
      <w:proofErr w:type="spellStart"/>
      <w:r w:rsidRPr="003204F1">
        <w:t>рациональнооптимистические</w:t>
      </w:r>
      <w:proofErr w:type="spellEnd"/>
      <w:r w:rsidRPr="003204F1">
        <w:t xml:space="preserve"> представления о европейской истории, вера в бесконечный прогресс и возрастающее благосостояние человечества. Взамен выдвигались идеи культурно-исторического круговорота, неизбежной смены культур.</w:t>
      </w:r>
    </w:p>
    <w:p w:rsidR="003204F1" w:rsidRPr="003204F1" w:rsidRDefault="003204F1" w:rsidP="003204F1">
      <w:pPr>
        <w:pStyle w:val="a6"/>
        <w:shd w:val="clear" w:color="auto" w:fill="FFFFFF"/>
        <w:spacing w:before="0" w:beforeAutospacing="0" w:after="0" w:afterAutospacing="0"/>
        <w:jc w:val="both"/>
      </w:pPr>
      <w:r w:rsidRPr="003204F1">
        <w:t>В художественной культуре стали всё заметнее ослабевать позиции реализма, являвшегося высшим достижением XIX столетия. </w:t>
      </w:r>
      <w:r w:rsidRPr="003204F1">
        <w:rPr>
          <w:rStyle w:val="a7"/>
        </w:rPr>
        <w:t>Возникшее на рубеже XIX—XX вв. новое художественное движение получило название, в котором подчёркивалась его современность, — модернизм.</w:t>
      </w:r>
      <w:r w:rsidRPr="003204F1">
        <w:t> В нём были представлены разные течения и группы, не имевшие единой идейно-художественной программы. Общими были отход от традиций и идеалов прежнего искусства, а также поиск новых художественных форм и средств.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Особое место в художественной культуре конца XIX — начала XX в. занял стиль модерн (обратите внимание на различие понятий «модерн» и «модернизм»)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распространился во многих странах Европы (во Франции — под названием «ар-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нуво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Германии — «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югендштиль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 д.). Он основывался на идее о том, что искусство создаёт прекрасное и привносит его в жизнь, которая сама по себе не слишком хороша и привлекательна. Одним из средств достижения этой цели считался синтез разных искусств: архитектуры, декоративно-прикладного искусства, живописи, графики и т. д. Мастера модерна широко использовали также сочетания элементов разных стилей: европейских и восточных, современных и традиционных. Особенно значительными оказались достижения модерна в архитектуре, где были созданы необычные по внешнему облику, изысканные, а иногда и вычурные здания с удобной внутренней планировкой. Однако при всей своей художественной выразительности модерн оставался стилем для избранных и вскоре уступил место другим течениям.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26A19E" wp14:editId="4912FDA5">
            <wp:extent cx="1817088" cy="1779312"/>
            <wp:effectExtent l="0" t="0" r="0" b="0"/>
            <wp:docPr id="1" name="Рисунок 1" descr="Д. Микелуччи Виллино Либерти во Флоренции. 1911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. Микелуччи Виллино Либерти во Флоренции. 1911 г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06" cy="178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 </w:t>
      </w:r>
      <w:proofErr w:type="spell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Микелуччи</w:t>
      </w:r>
      <w:proofErr w:type="spell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Виллино</w:t>
      </w:r>
      <w:proofErr w:type="spell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Либерти во Флоренции. 1911 г.</w:t>
      </w:r>
    </w:p>
    <w:p w:rsidR="003204F1" w:rsidRPr="003204F1" w:rsidRDefault="003204F1" w:rsidP="0032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смелые поиски новых художественных форм и выразительных средств вели так называемые авангардистские (французское слово «авангард» означает «передовой») течения и группы. Поэты здесь экспериментировали с формами и размером стиха (можно вспомнить, например, раннее творчество В. В. Маяковского), художники — с цветом и композицией картин. Живописцы не ставили своей задачей близкое к действительности отображение какого-либо объекта, их картины часто вообще не имели сюжета. Решающую роль играли видения, ощущения самого художника. Известными в этот период модернистскими течениями стали фовизм (в переводе с французского — «дикий»), примитивизм, экспрессионизм, кубизм, абстракционизм. На протяжении двух-трёх десятилетий они видоизменялись, перерастали в другие течения. Многие крупные мастера, чьи имена были связаны с отдельными течениями (например, А. Матисс — с фовизмом, М. Шагал — с примитивизмом, П. Пикассо — с кубизмом), на самом деле «не умещались» в эти тесные и довольно условные рамки. Они не подчинялись канонам того или иного течения, совершенствовали собственный стиль и манеру живописи, которые потом становились образцами. Заметным явлением в модернистских течениях начала XX в. стало творчество В. Кандинского, К. Малевича, Н. Гончаровой, Л. Поповой и других российских художников.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E76706" wp14:editId="066826E7">
            <wp:extent cx="2648058" cy="2701211"/>
            <wp:effectExtent l="0" t="0" r="0" b="4445"/>
            <wp:docPr id="2" name="Рисунок 2" descr="П. Пикассо Авиньонские девицы. 1907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. Пикассо Авиньонские девицы. 1907 г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60" cy="27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П. Пикассо </w:t>
      </w:r>
      <w:proofErr w:type="spell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Авиньонские</w:t>
      </w:r>
      <w:proofErr w:type="spell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девицы. 1907 г.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FB44D0" wp14:editId="538BBF8B">
            <wp:extent cx="2348940" cy="2398810"/>
            <wp:effectExtent l="0" t="0" r="0" b="1905"/>
            <wp:docPr id="3" name="Рисунок 3" descr=" К. Малевич Динамический супрематизм. 1916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. Малевич Динамический супрематизм. 1916 г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57" cy="23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 Малевич Динамический супрематизм. 1916 г.</w:t>
      </w:r>
    </w:p>
    <w:p w:rsidR="003204F1" w:rsidRPr="003204F1" w:rsidRDefault="003204F1" w:rsidP="003204F1">
      <w:pPr>
        <w:shd w:val="clear" w:color="auto" w:fill="FFFFFF"/>
        <w:spacing w:before="3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культура 1920–1930-х годов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война и последовавшие за ней события принесли миллионам людей тяжёлые испытания и потери, потрясли основы общественного устройства, дали толчок попыткам его революционного преобразования. В этот период выявились и противоречия, разделявшие людей, и общие для многих устремления к свободе и справедливости. Это не могло не отразиться в культуре последующих десятилетий.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послевоенной литературе заметное место заняли писатели «потерянного поколения»: немец Э. М. Ремарк, американец Э. Хемингуэй, англичанин Р. Олдингтон и др. Они участвовали в войне и не могли забыть то, что увидели и пережили. Показывая жизнь своих героев на войне, они протестовали против страшного своей обыденностью истребления людей. При этом ставилось под сомнение то, во имя чего велась война. Об этом написал ещё в годы войны английский поэт Р. Брук: «И если я умру, подумай лишь о том, что где-то есть чужой земли частица, что стала Англией». Антивоенная направленность произведений писателей «потерянного поколения» вызывала разное отношение — поддержку со стороны одних людей и раздражение других. Так, нацисты использовали роман Э. М. Ремарка «На Западном фронте без перемен» как повод для лишения писателя германского гражданства.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1ABB1" wp14:editId="2E445FF9">
            <wp:extent cx="2264267" cy="3004437"/>
            <wp:effectExtent l="0" t="0" r="3175" b="5715"/>
            <wp:docPr id="4" name="Рисунок 4" descr="Э. Барлах. Памятник п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. Барлах. Памятник павши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193" cy="300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Э. </w:t>
      </w:r>
      <w:proofErr w:type="spell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Барлах</w:t>
      </w:r>
      <w:proofErr w:type="spell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Памятник </w:t>
      </w:r>
      <w:proofErr w:type="gram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павшим</w:t>
      </w:r>
      <w:proofErr w:type="gramEnd"/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отличие от писателей «потерянного поколения», у которых преобладало чувство сожаления об утраченных идеалах и ценностях, многие деятели европейской культуры увидели в бурных событиях первых десятилетий XX в. осуществление важнейших социальных и политических идей. Их привлекла активная борьба людей против неравенства и несправедливости, за социальное и национальное освобождение. Такие взгляды разделяли французские писатели А. Барбюс и Р. Роллан, немец Г. Манн, американец Т. Драйзер и др. Их герои не находили себе места в буржуазном обществе. Одни из них боролись против этого общества, как в романе А. Барбюса «Огонь», а другие, как Клайд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Гриффит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«Американской трагедии» Т. Драйзера, стремились любой ценой пробиться в нём и погибали, не достигнув своей цели.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8182F3" wp14:editId="06899D97">
            <wp:extent cx="1382899" cy="1430448"/>
            <wp:effectExtent l="0" t="0" r="8255" b="0"/>
            <wp:docPr id="5" name="Рисунок 5" descr="К. Кольвиц. Уби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. Кольвиц. Убит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43" cy="143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К. </w:t>
      </w:r>
      <w:proofErr w:type="spell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Кольвиц</w:t>
      </w:r>
      <w:proofErr w:type="spell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Убитая</w:t>
      </w:r>
    </w:p>
    <w:p w:rsidR="003204F1" w:rsidRPr="003204F1" w:rsidRDefault="003204F1" w:rsidP="0032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литературе и искусстве данного направления заметно проявились характерные для новейшего времени черты —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идеологизация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политизация культуры. Многие из принадлежавших к нему художников вступили в коммунистические партии, занимались политической и общественной деятельностью. Представители революционного искусства в разных странах объединялись в союзы и ассоциации, такие как «Рабочий совет по делам искусств» в Германии (1918—1919), «Левый фронт» в Чехословакии (с 1929 г.), «Союз пролетарского искусства» в Японии (1929—1934) и др.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мастера культуры, не принадлежавшие к каким-либо идейно-художественным объединениям и политическим партиям, обращались к новым социальным идеям, считая, что они помогут преодолеть несправедливость и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антигуманность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существовавшего строя. В их числе был один из наиболее ярких и своеобразных писателей XX в. Б. Брехт.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3AE2B" wp14:editId="016D837D">
            <wp:extent cx="1341912" cy="1725445"/>
            <wp:effectExtent l="0" t="0" r="0" b="8255"/>
            <wp:docPr id="6" name="Рисунок 6" descr="Бертольт Брех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ртольт Брех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34" cy="172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Бертольт</w:t>
      </w:r>
      <w:proofErr w:type="spell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Брехт</w:t>
      </w:r>
    </w:p>
    <w:p w:rsidR="003204F1" w:rsidRPr="003204F1" w:rsidRDefault="003204F1" w:rsidP="0032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Бертольт</w:t>
      </w:r>
      <w:proofErr w:type="spellEnd"/>
      <w:r w:rsidRPr="0032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Брехт (1898–1956)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родился в зажиточной семье. Уже в юности он пришёл к стихийному отрицанию бюргерского, буржуазного образа жизни, что нашло отражение в его первых пьесах. В зрелые годы Брехт занялся изучением марксистской литературы. События 1929 — начала 1930-х годов в Германии, свидетелем которых он стал, укрепили его в неприятии существовавшего общественного порядка. В 1933 г., после прихода нацистов к власти, он покинул Германию. Широкую известность принесли Брехту постановки его пьес «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Трёхгрошовая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опера», «Мать» и др. В них он отчасти использовал сюжеты произведений других авторов (пьесы английского драматурга XVIII в. Д.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Гэя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«Опера нищих» и романа М. Горького «Мать»), но создал оригинальные произведения с собственной идеей, стилем, языком. Они отличались динамичным действием, острыми диалогами, включали стихи-притчи, песни, лозунги и высказывания 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злобу дня. Так, один из персонажей «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Трёхгрошовой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оперы», грабитель-налётчик, заявляет в своё оправдание: «Что такое отмычка по сравнению с акцией? Что такое налёт на банк по сравнению с основанием банка?» За парадоксом и насмешкой, к которым часто прибегал автор, скрывались «вечные вопросы» о жизни и смерти человека, его падениях и взлётах, мечтах и неудачах. Рядом с художником-смутьяном стоял художник-гуманист. Эта последняя черта особенно ярко проявилась в созданных Брехтом в конце 1930-х — начале 1940-х годов пьесах «Добрый человек из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Сезуана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«Мамаша Кураж и её дети».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первых десятилетий XX в. давала богатую пищу для особого литературного жанра — социальной фантастики. Авторы таких произведений пытались представить в придуманных ими обстоятельствах, вне реального места и времени события и модели общественных отношений, черты которых они наблюдали в окружавшем мире. В 1920 г. Е. Замятин написал фантастический роман «Мы», который стал одним из первых творений в жанре антиутопии (опубликован за рубежом в 1924 г.). Позже появились также относимые к этому жанру романы О. Хаксли «Прекрасный новый мир» (1932) и Д. Оруэлла «1984» (1949).</w:t>
      </w:r>
    </w:p>
    <w:p w:rsidR="003204F1" w:rsidRPr="003204F1" w:rsidRDefault="003204F1" w:rsidP="0032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романе «Мы» действие происходит в «математически совершенном Едином государстве». Жизнь героев, обозначаемых вместо имён «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нумерами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жёстко регламентирована на производстве и в быту, в личных отношениях и развлечениях. Художественное творчество рассматривается в этом обществе как «государственная служба», а индивидуальное сознание считают болезнью. Герой Д-503 мечется между жёсткими правилами системы и человеческой потребностью в дружбе и любви. В финале он сообщает Благодетелю (верховному руководителю этого общества) о тех, кто не хочет подчиняться существующему порядку, о «врагах счастья», в том числе о любимой им женщине. Тем самым он обрекает их на пытки и смерть, но остаётся верен системе. В романе как будто предсказаны черты складывавшихся тогда тоталитарных обществ.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 примером художественного пророчества явился роман чешского писателя К. Чапека «Война с саламандрами». В нём рассказана фантастическая история о том, как некие земноводные существа, вступив в контакт с людьми, постепенно захватывают всё большее «жизненное пространство», а затем с помощью полученного от людей оружия начинают войну, направленную на уничтожение человечества. Занимательное повествование с элементами блестящей пародии на тогдашнее общество вдруг становилось страшным из-за своего сходства с реальностью. Это впечатление усиливалось тем, что часть повествования построена в форме газетных репортажей, близких по содержанию к публикациям прессы тех лет. К. Чапек умер в 1938 г., незадолго до начала Второй мировой войны, в которой осуществилось многое из того, что он предрекал. В связи с этим нельзя не вспомнить слова А. П. Чехова: «Настоящий писатель — это то же, что древний пророк: он видит яснее, чем обычные люди».</w:t>
      </w:r>
    </w:p>
    <w:p w:rsidR="003204F1" w:rsidRPr="003204F1" w:rsidRDefault="003204F1" w:rsidP="0032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изобразительном искусстве 1920—1930-х годов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же как в литературе, появились новые течения и реалистической и модернистской направленности. Одним из наиболее ярких проявлений новаторства в реалистическом искусстве стала мексиканская школа монументальной живописи, созданная художниками Д.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Риверой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X. К.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Ороско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А.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Сикейросом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другими.</w:t>
      </w:r>
    </w:p>
    <w:p w:rsidR="003204F1" w:rsidRPr="003204F1" w:rsidRDefault="003204F1" w:rsidP="0032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Создатели школы были современниками и участниками мексиканской революции 1910—1917 гг. Это сформировало их отношение к жизни, к своему народу, идейные позиции. Д.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Сикейрос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подчёркивал: «Наш путь был иным, совсем иным, чем у художников европейского авангарда...» Начиная творческую деятельность, он и его товарищи так определяли свою главную задачу: «Создать монументальное и героическое искусство, гуманистическое и народное, ориентированное на наших великих мастеров прошлого и необычайную культуру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доиспанской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Америки!» Осуществлению этих намерений способствовала культурная политика первых послереволюционных правительств, которые придавали большое значение монументальной пропаганде идей и завоеваний освободительной борьбы народов Мексики. Молодые художники получали 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заказы на оформление административных и общественных зданий. На стенах и фасадах этих зданий появились монументальные росписи — фрески, отражавшие события истории и современности. Художники обличали войну, антигуманные стороны буржуазного общества, фашизм. В их работах сочетались эмоциональность, публицистичность и художественная выразительность. Темы, образы, символика фресок были глубоко национальны, мастера этой школы продолжали традиции искусства индейцев Мексики. Вместе с тем они выражали присущие всем людям чувства сострадания и гнева, потрясения и порыва к свободе. Новой для искусства того времени была и изобретённая художниками техника монументальной росписи.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614910" wp14:editId="323CDB22">
            <wp:extent cx="1917865" cy="1451352"/>
            <wp:effectExtent l="0" t="0" r="6350" b="0"/>
            <wp:docPr id="7" name="Рисунок 7" descr="Д. Ривера Смерть крестьянина 1926—1927 г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. Ривера Смерть крестьянина 1926—1927 гг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96" cy="14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Ривера Смерть крестьянина 1926—1927 гг.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D75631" wp14:editId="121287B2">
            <wp:extent cx="2179122" cy="2213575"/>
            <wp:effectExtent l="0" t="0" r="0" b="0"/>
            <wp:docPr id="8" name="Рисунок 8" descr="Д. Сикейрос Портрет буржуазии (фрагмент) 1939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. Сикейрос Портрет буржуазии (фрагмент) 1939 г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06" cy="221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 </w:t>
      </w:r>
      <w:proofErr w:type="spell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Сикейрос</w:t>
      </w:r>
      <w:proofErr w:type="spell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Портрет буржуазии (фрагмент) 1939 г.</w:t>
      </w:r>
    </w:p>
    <w:p w:rsidR="003204F1" w:rsidRPr="003204F1" w:rsidRDefault="003204F1" w:rsidP="0032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художественная позиция дополнялась у представителей этой школы политической деятельностью. В начале 1920-х годов был создан Синдикат революционных живописцев, скульпторов и гравёров, провозгласивший главной задачей искусства служение делу революции. Руководители Синдиката Д.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Сикейрос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Ривера, X.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Герреро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избраны членами ЦК Мексиканской коммунистической партии. Издававшаяся Синдикатом иллюстрированная газета «Мачете» вскоре стала официальным органом компартии.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изменения произошли в 1920—1930-е годы в модернистском движении. Многие его представители, став свидетелями войны и социальных потрясений, стремились уйти от действительности, спрятаться в собственном мире. Считая жизнь жестокой, неуправляемой и бессмысленной, они решили, что искусство не должно отображать, объяснять и совершенствовать её. Более того, искусство иррационально (не подчиняется разуму). Эти идеи лежали в основе возникшего в 1920-е годы сюрреализм</w:t>
      </w:r>
      <w:proofErr w:type="gram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надреализма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Его создатели утверждали, что творчество — </w:t>
      </w:r>
      <w:proofErr w:type="gram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отражение подсознательных ощущений художника.</w:t>
      </w:r>
    </w:p>
    <w:p w:rsidR="003204F1" w:rsidRPr="003204F1" w:rsidRDefault="003204F1" w:rsidP="007F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803CC7" wp14:editId="4CA878BB">
            <wp:extent cx="1715830" cy="1104083"/>
            <wp:effectExtent l="0" t="0" r="0" b="1270"/>
            <wp:docPr id="9" name="Рисунок 9" descr="С. Дали. Сон. 1937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. Дали. Сон. 1937 г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15" cy="110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Дали. Сон. 1937 г.</w:t>
      </w:r>
    </w:p>
    <w:p w:rsidR="003204F1" w:rsidRPr="003204F1" w:rsidRDefault="003204F1" w:rsidP="007F5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Сюрреалисты чаще всего изображали на своих полотнах некие фантазии, беспорядочные сочетания тел и предметов, нередко нарочито искажённых, деформированных. Отрицание красоты и гармонии,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антиэстетичность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характерными чертами данного стиля. В нём как будто завершился переход от разума к подсознанию, от поиска новых форм к хаосу. Сюрреалисты стремились потрясти, шокировать публику не С. Дали. Сон. 1937 г. только своим творчеством, но и эксцентрическим, антиобщественным поведением. Их идеолог А.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Бретон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заявлял: «Простейшее сюрреалистическое действие состоит в том, чтобы выйти на улицу с револьвером в руках и, сколько хватит сил, </w:t>
      </w:r>
      <w:proofErr w:type="gram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стрелять</w:t>
      </w:r>
      <w:proofErr w:type="gram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попало в толпу». Один из наиболее известных художников-сюрреалистов С. Дали во всеуслышание называл свой метод «критически-параноическим» (тем не </w:t>
      </w:r>
      <w:proofErr w:type="gram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1930-х годов сюрреалисты исключили Дали из своего кружка за «излишне академический» характер его живописи).</w:t>
      </w:r>
    </w:p>
    <w:p w:rsidR="003204F1" w:rsidRPr="003204F1" w:rsidRDefault="003204F1" w:rsidP="007F5AF9">
      <w:pPr>
        <w:shd w:val="clear" w:color="auto" w:fill="FFFFFF"/>
        <w:spacing w:before="3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в массовом обществе</w:t>
      </w:r>
    </w:p>
    <w:p w:rsidR="003204F1" w:rsidRPr="003204F1" w:rsidRDefault="003204F1" w:rsidP="007F5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индустриальных странах в 1920–1930-е годы массового общества создало условия для широкого распространения художественной культуры. Положительным было то, что произведения искусства оказались более доступными для различных слоёв и групп населения, становились частью общественной жизни. Издержки, по мнению ценителей искусства, заключались в замене уникальных, высоких образцов серийной, ординарной художественной продукцией.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веяния зримо проявились в этот период в искусстве, созидающем среду обитания людей, — архитектуре. Здесь выделились течения рациональной, конструктивистской архитектуры, широко распространившиеся во многих странах, в том числе в России.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новых течений имело как технологические, так и социальные предпосылки. В технике строительства оно было связано с применением железобетонных конструкций, сплошного остекления стен и т. д. Социальный заказ состоял в потребности в широкой, массовой застройке городов. Если в довоенные годы архитекторы уделяли основное внимание проектированию административных зданий, банков, роскошных особняков, то теперь этот перечень пополнился проектами многоквартирных жилых домов, университетских и школьных городков, промышленных сооружений, стадионов.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архитекторы занялись созданием жилых комплексов, в которых наряду с типовыми жилыми домами располагались объекты общественного и бытового назначения. В одних случаях это были окружённые парковыми зонами городки для представителей так называемого среднего класса, в других — кварталы для рабочих. Проекты жилых комплексов получили особую поддержку в Советском Союзе, где им придавалось идейное обоснование: подчёркивалось, что это «возможность создания единого могучего коллектива, объединяющего большинство общественных функций коммунальным путём». По таким проектам строились дома-коммуны, показательные жилые комплексы с магазинами, детскими садами, прачечными и т. д.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рационализме и конструктивизме на первое место ставились простота, соответствие форм и внутренней планировки здания его назначению. Ярким представителем европейского рационализма был французский архитектор Ш. Э.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Корбюзье (1887—1965). Именно он сформулировал самый лаконичный манифест нового течения: «Дом — это машина для жилья». Постройки Корбюзье приподнимались над землёй на 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специальных опорных столбах, имели правильную геометрическую форму, продуманную планировку, «ленточные» окна, плоскую крышу, предназначенную для разбивки сада.</w:t>
      </w:r>
    </w:p>
    <w:p w:rsidR="003204F1" w:rsidRPr="003204F1" w:rsidRDefault="003204F1" w:rsidP="007F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EAA171" wp14:editId="65403A20">
            <wp:extent cx="1733735" cy="1301217"/>
            <wp:effectExtent l="0" t="0" r="0" b="0"/>
            <wp:docPr id="10" name="Рисунок 10" descr="​​​​​​​Административное здание на Мясницкой улице в Москве Арх. Ш. Э. Ле Корбюзье и д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​​​​​​​Административное здание на Мясницкой улице в Москве Арх. Ш. Э. Ле Корбюзье и др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92" cy="13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​​​​​​​Административное здание на Мясницкой улице в Москве</w:t>
      </w:r>
      <w:proofErr w:type="gram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рх. Ш. Э. </w:t>
      </w:r>
      <w:proofErr w:type="spell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</w:t>
      </w:r>
      <w:proofErr w:type="spell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Корбюзье и др.</w:t>
      </w:r>
    </w:p>
    <w:p w:rsidR="003204F1" w:rsidRPr="003204F1" w:rsidRDefault="003204F1" w:rsidP="007F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D1D00E" wp14:editId="4C278938">
            <wp:extent cx="1890231" cy="1371600"/>
            <wp:effectExtent l="0" t="0" r="0" b="0"/>
            <wp:docPr id="11" name="Рисунок 11" descr=" ​​​​​​​Фабрика в Роттердаме Арх. И. А. Бринкман и др. 1928—1930 г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​​​​​​​Фабрика в Роттердаме Арх. И. А. Бринкман и др. 1928—1930 гг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02" cy="137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Фабрика в Роттердаме</w:t>
      </w:r>
      <w:proofErr w:type="gram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рх. И. А. </w:t>
      </w:r>
      <w:proofErr w:type="spellStart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Бринкман</w:t>
      </w:r>
      <w:proofErr w:type="spellEnd"/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др. 1928—1930 гг.</w:t>
      </w:r>
    </w:p>
    <w:p w:rsidR="003204F1" w:rsidRPr="003204F1" w:rsidRDefault="003204F1" w:rsidP="007F5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Известную школу рационализма «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Баухауз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создали немецкие архитекторы во главе с В. Гропиусом. Стиль «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Баухауз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быстро приобрёл интернациональный характер.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массовый вид искусства превратился в 1920—1930-е годы кинематограф.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было время становления кино, каждый год приносил новые художественные и технические открытия. Одной из вершин мирового кинематографа в этот период явилось творчество выдающегося актёра и режиссёра Ч. Чаплина.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Чарльз Спенсер Чаплин (1889–1977)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родился в Лондоне в актёрской семье и с юности пошёл по стопам родителей. Молодым актёром приехал в США, где начал ставить комедийные фильмы на одной из студий в Лос-Анджелесе. В 1919 г. совместно с несколькими актёрами и режиссёрами основал независимую кинокомпанию «Юнайтед артисте». Наиболее известные фильмы Чаплина: «Малыш» (1920), «Золотая лихорадка» (1925), «Огни большого города» (1931), «Новые времена» (1936). Их герой — маленький человек в шляпе-котелке, больших не по росту ботинках и с тросточкой. В нём удивительно уживались внешняя комичность, эксцентрические трюки и печаль одинокого человека, ищущего тепла и сочувствия. Наблюдая за его приключениями, зрители и смеялись, и плакали. Наверное, это и принесло Чаплину всемирное признание.</w:t>
      </w:r>
    </w:p>
    <w:p w:rsidR="003204F1" w:rsidRPr="003204F1" w:rsidRDefault="003204F1" w:rsidP="007F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BA2A8E" wp14:editId="79FF6E83">
            <wp:extent cx="1683986" cy="1905820"/>
            <wp:effectExtent l="0" t="0" r="0" b="0"/>
            <wp:docPr id="12" name="Рисунок 12" descr="Кадр из фильма Ч. Чап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др из фильма Ч. Чаплин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75" cy="19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Кадр из фильма Ч. Чаплина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Поисками нового и значительными достижениями были отмечены первые шаги советского кинематографа, обратившегося к темам большого социального звучания. Международную известность получили работы кинорежиссёра С. М. Эйзенштейна 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(1898—1948). Его фильм «Броненосец “Потёмкин”» включён киноведами в число десяти лучших фильмов всех времён и народов.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1920-х годов «Великий немой», как называли кино, заговорил (первый звуковой фильм вышел в США в 1927 г.). Звёзды немого кино, не обладавшие нужной актёрской техникой и голосовыми данными, уступили место новому поколению актёров, многие из которых пришли из театра. Игра актёров стала более естественной, понятной зрителям. Вместо прежнего музыкального сопровождения в фильмах зазвучала музыка, помогавшая раскрыть художественный замысел и подчеркнуть динамику действия. Музыку к звуковым фильмам писали многие известные композиторы. Одним из высоких образцов в этой области, получивших международное признание, стала музыка С. С. Прокофьева к кинофильму «Александр Невский» (1938).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размах приобрело кинопроизводство в США. 1920—1930-е годы вошли в историю как «золотой век» Голливуда (этот киногород возник в предместье Лос-Анджелеса незадолго до Первой мировой войны). Он стал международным киноцентром с большими финансовыми и техническими возможностями. Сюда приезжали актёры и режиссёры из многих стран. Но почти неограниченные материальные возможности не давали абсолютной творческой свободы. Работа создателей фильмов жёстко регламентировалась договорами с киностудиями. Хозяева «фабрики грёз» (так называли Голливуд) хорошо знали, какой продукт они хотят получить.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1930 г. в Голливуде был принят обязательный для всех студий «Производственный кодекс». В нём говорилось:</w:t>
      </w:r>
    </w:p>
    <w:p w:rsidR="003204F1" w:rsidRPr="003204F1" w:rsidRDefault="003204F1" w:rsidP="003204F1">
      <w:pPr>
        <w:shd w:val="clear" w:color="auto" w:fill="F1EBE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«Каждый американский фильм должен утверждать, что образ жизни Соединённых Штатов — единственный и лучший для любого человека. Так или </w:t>
      </w:r>
      <w:proofErr w:type="gram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  <w:proofErr w:type="gram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фильм должен быть оптимистичным и показывать маленькому человеку, что где-нибудь и когда-нибудь он схватит за хвост своё счастье. Фильм не должен выворачивать наизнанку тёмные стороны нашей жизни, не должен разжигать решительных и динамичных страстей».</w:t>
      </w:r>
    </w:p>
    <w:p w:rsidR="003204F1" w:rsidRPr="003204F1" w:rsidRDefault="003204F1" w:rsidP="0032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Примечательной чертой культуры этого периода стало широкое распространение музыки.</w:t>
      </w:r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Она звучала по радио, в граммофонных записях. Отчасти это была классическая музыка — оперные и симфонические записи (в числе первых были сделаны уникальные записи великих оперных певцов Э. </w:t>
      </w:r>
      <w:proofErr w:type="spellStart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Карузо</w:t>
      </w:r>
      <w:proofErr w:type="spellEnd"/>
      <w:r w:rsidRPr="003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Ф. И. Шаляпина). Появились симфонические оркестры на радио. Но особой популярностью пользовалась эстрадная, танцевальная музыка. Это было время расцвета джаза, возникшего в США, а затем распространившегося во многих странах. Основу его составляли ритмы негритянской народной музыки и импровизации. В эти же годы родился мюзикл — особый вид представления, в котором сочетались речь, пение и танцы.</w:t>
      </w:r>
    </w:p>
    <w:p w:rsidR="00571856" w:rsidRPr="00571856" w:rsidRDefault="00571856" w:rsidP="00571856">
      <w:pPr>
        <w:pStyle w:val="a3"/>
        <w:tabs>
          <w:tab w:val="left" w:pos="3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1856" w:rsidRPr="00571856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18" w:rsidRDefault="00660818" w:rsidP="007F5AF9">
      <w:pPr>
        <w:spacing w:after="0" w:line="240" w:lineRule="auto"/>
      </w:pPr>
      <w:r>
        <w:separator/>
      </w:r>
    </w:p>
  </w:endnote>
  <w:endnote w:type="continuationSeparator" w:id="0">
    <w:p w:rsidR="00660818" w:rsidRDefault="00660818" w:rsidP="007F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502967"/>
      <w:docPartObj>
        <w:docPartGallery w:val="Page Numbers (Bottom of Page)"/>
        <w:docPartUnique/>
      </w:docPartObj>
    </w:sdtPr>
    <w:sdtContent>
      <w:p w:rsidR="007F5AF9" w:rsidRDefault="007F5A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5AF9" w:rsidRDefault="007F5A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18" w:rsidRDefault="00660818" w:rsidP="007F5AF9">
      <w:pPr>
        <w:spacing w:after="0" w:line="240" w:lineRule="auto"/>
      </w:pPr>
      <w:r>
        <w:separator/>
      </w:r>
    </w:p>
  </w:footnote>
  <w:footnote w:type="continuationSeparator" w:id="0">
    <w:p w:rsidR="00660818" w:rsidRDefault="00660818" w:rsidP="007F5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58F3"/>
    <w:multiLevelType w:val="hybridMultilevel"/>
    <w:tmpl w:val="6F9C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B0038"/>
    <w:multiLevelType w:val="hybridMultilevel"/>
    <w:tmpl w:val="6F9C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89"/>
    <w:rsid w:val="00284589"/>
    <w:rsid w:val="003204F1"/>
    <w:rsid w:val="00571856"/>
    <w:rsid w:val="00660818"/>
    <w:rsid w:val="007A4647"/>
    <w:rsid w:val="007F5AF9"/>
    <w:rsid w:val="009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1856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7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2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04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4F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F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5AF9"/>
  </w:style>
  <w:style w:type="paragraph" w:styleId="ac">
    <w:name w:val="footer"/>
    <w:basedOn w:val="a"/>
    <w:link w:val="ad"/>
    <w:uiPriority w:val="99"/>
    <w:unhideWhenUsed/>
    <w:rsid w:val="007F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1856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7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2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04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4F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F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5AF9"/>
  </w:style>
  <w:style w:type="paragraph" w:styleId="ac">
    <w:name w:val="footer"/>
    <w:basedOn w:val="a"/>
    <w:link w:val="ad"/>
    <w:uiPriority w:val="99"/>
    <w:unhideWhenUsed/>
    <w:rsid w:val="007F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7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2013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nY3zcKAss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4</cp:revision>
  <dcterms:created xsi:type="dcterms:W3CDTF">2023-12-12T01:10:00Z</dcterms:created>
  <dcterms:modified xsi:type="dcterms:W3CDTF">2023-12-12T07:45:00Z</dcterms:modified>
</cp:coreProperties>
</file>