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54B" w:rsidRPr="00DD754B" w:rsidRDefault="00DD754B" w:rsidP="00DD754B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 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b/>
          <w:bCs/>
          <w:color w:val="272F3D"/>
          <w:sz w:val="28"/>
          <w:szCs w:val="28"/>
          <w:lang w:eastAsia="ru-RU"/>
        </w:rPr>
        <w:t>Многоатомные спирты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 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Многоатомные спирты — соединения, у которых две или несколько гидроксильных групп расположены у соседних атомов углерода.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noProof/>
          <w:color w:val="272F3D"/>
          <w:sz w:val="28"/>
          <w:szCs w:val="28"/>
          <w:lang w:eastAsia="ru-RU"/>
        </w:rPr>
        <w:drawing>
          <wp:inline distT="0" distB="0" distL="0" distR="0" wp14:anchorId="1A1F80AF" wp14:editId="0796F4F5">
            <wp:extent cx="443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Свойства многоатомных спиртов:</w:t>
      </w:r>
    </w:p>
    <w:p w:rsidR="00DD754B" w:rsidRPr="00DD754B" w:rsidRDefault="00DD754B" w:rsidP="00DD7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Общие с другими спиртами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Например, образование сложных эфиров при взаимодействии с кислотами: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noProof/>
          <w:color w:val="272F3D"/>
          <w:sz w:val="28"/>
          <w:szCs w:val="28"/>
          <w:lang w:eastAsia="ru-RU"/>
        </w:rPr>
        <w:drawing>
          <wp:inline distT="0" distB="0" distL="0" distR="0" wp14:anchorId="4598772A" wp14:editId="544483B5">
            <wp:extent cx="46672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i/>
          <w:iCs/>
          <w:color w:val="272F3D"/>
          <w:sz w:val="28"/>
          <w:szCs w:val="28"/>
          <w:lang w:eastAsia="ru-RU"/>
        </w:rPr>
        <w:t>                         тринитроглицерин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Или кислотные свойства: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noProof/>
          <w:color w:val="272F3D"/>
          <w:sz w:val="28"/>
          <w:szCs w:val="28"/>
          <w:lang w:eastAsia="ru-RU"/>
        </w:rPr>
        <w:drawing>
          <wp:inline distT="0" distB="0" distL="0" distR="0" wp14:anchorId="05206BF0" wp14:editId="31F45106">
            <wp:extent cx="40767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4B" w:rsidRPr="00DD754B" w:rsidRDefault="00DD754B" w:rsidP="00DD7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Особенные</w:t>
      </w:r>
    </w:p>
    <w:p w:rsidR="00DD754B" w:rsidRPr="00DD754B" w:rsidRDefault="00DD754B" w:rsidP="00DD75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Соединения, у которых рядом расположено несколько гидроксильных групп, сладкие на вкус. Глицерин добавляют в ликеры и конфетные начинки в качестве загустителя.</w:t>
      </w:r>
    </w:p>
    <w:p w:rsidR="00DD754B" w:rsidRPr="00DD754B" w:rsidRDefault="00DD754B" w:rsidP="00DD75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Взаимодействие с гидроксидом меди – качественная реакция на многоатомные спирты. Если в избытке щелочи добавить несколько капель многоатомного спирта к голубому рыхлому осадку гидроксида меди, то получается прозрачный раствор комплексного соединения интенсивного синего цвета:</w:t>
      </w:r>
    </w:p>
    <w:tbl>
      <w:tblPr>
        <w:tblW w:w="105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6360"/>
      </w:tblGrid>
      <w:tr w:rsidR="00DD754B" w:rsidRPr="00DD754B" w:rsidTr="00DD754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7D99C52" wp14:editId="4E19AE6E">
                  <wp:extent cx="809625" cy="1381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4ED03B" wp14:editId="68E11C49">
                  <wp:extent cx="3228975" cy="19812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54B" w:rsidRPr="00DD754B" w:rsidTr="00DD754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Рис. 1 (фото Н. Морозовой)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глицерат</w:t>
            </w:r>
            <w:proofErr w:type="spellEnd"/>
            <w:r w:rsidRPr="00D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меди (синий раствор)</w:t>
            </w:r>
          </w:p>
        </w:tc>
      </w:tr>
    </w:tbl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b/>
          <w:bCs/>
          <w:color w:val="272F3D"/>
          <w:sz w:val="28"/>
          <w:szCs w:val="28"/>
          <w:lang w:eastAsia="ru-RU"/>
        </w:rPr>
        <w:t>Фенолы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Фенолы — соединения, в которых гидроксильная группа присоединена к </w:t>
      </w:r>
      <w:proofErr w:type="spellStart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бензольному</w:t>
      </w:r>
      <w:proofErr w:type="spellEnd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 кольцу.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noProof/>
          <w:color w:val="272F3D"/>
          <w:sz w:val="28"/>
          <w:szCs w:val="28"/>
          <w:lang w:eastAsia="ru-RU"/>
        </w:rPr>
        <w:drawing>
          <wp:inline distT="0" distB="0" distL="0" distR="0" wp14:anchorId="24972421" wp14:editId="626977A2">
            <wp:extent cx="4400550" cy="1171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Фенол — твердое бесцветное вещество с характерным запахом гуашевых красок, немного растворимое в воде.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Особенности строения фенола: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proofErr w:type="spellStart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Неподеленная</w:t>
      </w:r>
      <w:proofErr w:type="spellEnd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 пара электронов кислорода вступает во взаимодействие с электронным облаком </w:t>
      </w:r>
      <w:proofErr w:type="spellStart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бензольного</w:t>
      </w:r>
      <w:proofErr w:type="spellEnd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 кольца. В итоге электронная плотность “размазана” не по шести, а по семи атомам, причем электронная пара кислорода как бы “втянута” в </w:t>
      </w:r>
      <w:proofErr w:type="spellStart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бензольное</w:t>
      </w:r>
      <w:proofErr w:type="spellEnd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 кольцо:</w:t>
      </w:r>
    </w:p>
    <w:tbl>
      <w:tblPr>
        <w:tblW w:w="60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2904"/>
      </w:tblGrid>
      <w:tr w:rsidR="00DD754B" w:rsidRPr="00DD754B" w:rsidTr="00DD754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51BE69" wp14:editId="49C249A5">
                  <wp:extent cx="1343025" cy="771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C02AA5F" wp14:editId="7F2CDEA0">
                  <wp:extent cx="1266825" cy="762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54B" w:rsidRPr="00DD754B" w:rsidTr="00DD754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Рис. 2</w:t>
            </w:r>
          </w:p>
        </w:tc>
      </w:tr>
    </w:tbl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Проявление влияния </w:t>
      </w:r>
      <w:proofErr w:type="spellStart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бензольного</w:t>
      </w:r>
      <w:proofErr w:type="spellEnd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 кольца на ОН-группу: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Связь О-Н становится </w:t>
      </w:r>
      <w:proofErr w:type="spellStart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полярнее</w:t>
      </w:r>
      <w:proofErr w:type="spellEnd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 </w:t>
      </w:r>
      <w:r w:rsidRPr="00DD754B">
        <w:rPr>
          <w:rFonts w:ascii="Times New Roman" w:eastAsia="Times New Roman" w:hAnsi="Times New Roman" w:cs="Times New Roman"/>
          <w:noProof/>
          <w:color w:val="272F3D"/>
          <w:sz w:val="28"/>
          <w:szCs w:val="28"/>
          <w:lang w:eastAsia="ru-RU"/>
        </w:rPr>
        <w:drawing>
          <wp:inline distT="0" distB="0" distL="0" distR="0" wp14:anchorId="4D4ECB63" wp14:editId="48B2DC61">
            <wp:extent cx="123825" cy="123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1. Сильнее межмолекулярное взаимодействие </w:t>
      </w:r>
      <w:r w:rsidRPr="00DD754B">
        <w:rPr>
          <w:rFonts w:ascii="Times New Roman" w:eastAsia="Times New Roman" w:hAnsi="Times New Roman" w:cs="Times New Roman"/>
          <w:noProof/>
          <w:color w:val="272F3D"/>
          <w:sz w:val="28"/>
          <w:szCs w:val="28"/>
          <w:lang w:eastAsia="ru-RU"/>
        </w:rPr>
        <w:drawing>
          <wp:inline distT="0" distB="0" distL="0" distR="0" wp14:anchorId="62DD7CBD" wp14:editId="00FD5CB2">
            <wp:extent cx="123825" cy="123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 выше </w:t>
      </w:r>
      <w:proofErr w:type="spellStart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Т</w:t>
      </w: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vertAlign w:val="subscript"/>
          <w:lang w:eastAsia="ru-RU"/>
        </w:rPr>
        <w:t>пл</w:t>
      </w:r>
      <w:proofErr w:type="spellEnd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, </w:t>
      </w:r>
      <w:proofErr w:type="spellStart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Т</w:t>
      </w: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vertAlign w:val="subscript"/>
          <w:lang w:eastAsia="ru-RU"/>
        </w:rPr>
        <w:t>кип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0"/>
        <w:gridCol w:w="954"/>
        <w:gridCol w:w="1048"/>
      </w:tblGrid>
      <w:tr w:rsidR="00DD754B" w:rsidRPr="00DD754B" w:rsidTr="00DD75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</w:pPr>
            <w:proofErr w:type="spellStart"/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Т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vertAlign w:val="subscript"/>
                <w:lang w:eastAsia="ru-RU"/>
              </w:rPr>
              <w:t>пл</w:t>
            </w:r>
            <w:proofErr w:type="spellEnd"/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, </w:t>
            </w:r>
            <w:proofErr w:type="spellStart"/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vertAlign w:val="superscript"/>
                <w:lang w:eastAsia="ru-RU"/>
              </w:rPr>
              <w:t>о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</w:pPr>
            <w:proofErr w:type="spellStart"/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Т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vertAlign w:val="subscript"/>
                <w:lang w:eastAsia="ru-RU"/>
              </w:rPr>
              <w:t>кип</w:t>
            </w:r>
            <w:proofErr w:type="spellEnd"/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, </w:t>
            </w:r>
            <w:proofErr w:type="spellStart"/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vertAlign w:val="superscript"/>
                <w:lang w:eastAsia="ru-RU"/>
              </w:rPr>
              <w:t>о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С</w:t>
            </w:r>
            <w:proofErr w:type="spellEnd"/>
          </w:p>
        </w:tc>
      </w:tr>
      <w:tr w:rsidR="00DD754B" w:rsidRPr="00DD754B" w:rsidTr="00DD75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бензол С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vertAlign w:val="subscript"/>
                <w:lang w:eastAsia="ru-RU"/>
              </w:rPr>
              <w:t>6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Н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80,1</w:t>
            </w:r>
          </w:p>
        </w:tc>
      </w:tr>
      <w:tr w:rsidR="00DD754B" w:rsidRPr="00DD754B" w:rsidTr="00DD75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гексанол-1 С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vertAlign w:val="subscript"/>
                <w:lang w:eastAsia="ru-RU"/>
              </w:rPr>
              <w:t>6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Н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vertAlign w:val="subscript"/>
                <w:lang w:eastAsia="ru-RU"/>
              </w:rPr>
              <w:t>13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-51,6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157,5</w:t>
            </w:r>
          </w:p>
        </w:tc>
      </w:tr>
      <w:tr w:rsidR="00DD754B" w:rsidRPr="00DD754B" w:rsidTr="00DD75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фенол С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vertAlign w:val="subscript"/>
                <w:lang w:eastAsia="ru-RU"/>
              </w:rPr>
              <w:t>6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Н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vertAlign w:val="subscript"/>
                <w:lang w:eastAsia="ru-RU"/>
              </w:rPr>
              <w:t>5</w:t>
            </w: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color w:val="272F3D"/>
                <w:sz w:val="28"/>
                <w:szCs w:val="28"/>
                <w:lang w:eastAsia="ru-RU"/>
              </w:rPr>
              <w:t>181,8</w:t>
            </w:r>
          </w:p>
        </w:tc>
      </w:tr>
    </w:tbl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2. Легче диссоциация </w:t>
      </w:r>
      <w:r w:rsidRPr="00DD754B">
        <w:rPr>
          <w:rFonts w:ascii="Times New Roman" w:eastAsia="Times New Roman" w:hAnsi="Times New Roman" w:cs="Times New Roman"/>
          <w:noProof/>
          <w:color w:val="272F3D"/>
          <w:sz w:val="28"/>
          <w:szCs w:val="28"/>
          <w:lang w:eastAsia="ru-RU"/>
        </w:rPr>
        <w:drawing>
          <wp:inline distT="0" distB="0" distL="0" distR="0" wp14:anchorId="66074E73" wp14:editId="31EDF0E0">
            <wp:extent cx="123825" cy="123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 сильнее кислотные свойства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noProof/>
          <w:color w:val="272F3D"/>
          <w:sz w:val="28"/>
          <w:szCs w:val="28"/>
          <w:lang w:eastAsia="ru-RU"/>
        </w:rPr>
        <w:drawing>
          <wp:inline distT="0" distB="0" distL="0" distR="0" wp14:anchorId="41599248" wp14:editId="6F451B91">
            <wp:extent cx="2466975" cy="714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В отличие от спиртов, фенол реагирует со щелочами:</w:t>
      </w:r>
    </w:p>
    <w:tbl>
      <w:tblPr>
        <w:tblW w:w="375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095"/>
        <w:gridCol w:w="259"/>
        <w:gridCol w:w="764"/>
        <w:gridCol w:w="861"/>
      </w:tblGrid>
      <w:tr w:rsidR="00DD754B" w:rsidRPr="00DD754B" w:rsidTr="00DD754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44D9B57" wp14:editId="57D76FDD">
                  <wp:extent cx="447675" cy="714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  </w:t>
            </w:r>
            <w:proofErr w:type="spellStart"/>
            <w:r w:rsidRPr="00DD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NaOH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04D2183" wp14:editId="4FFC45A6">
                  <wp:extent cx="123825" cy="1238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A0B6E50" wp14:editId="2E2A6162">
                  <wp:extent cx="447675" cy="7143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54B" w:rsidRPr="00DD754B" w:rsidRDefault="00DD754B" w:rsidP="00DD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  H</w:t>
            </w:r>
            <w:r w:rsidRPr="00DD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D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</w:tr>
    </w:tbl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Проявление влияния ОН-группы на </w:t>
      </w:r>
      <w:proofErr w:type="spellStart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бензольное</w:t>
      </w:r>
      <w:proofErr w:type="spellEnd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 кольцо: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Электронная плотность в кольце повышена </w:t>
      </w:r>
      <w:r w:rsidRPr="00DD754B">
        <w:rPr>
          <w:rFonts w:ascii="Times New Roman" w:eastAsia="Times New Roman" w:hAnsi="Times New Roman" w:cs="Times New Roman"/>
          <w:noProof/>
          <w:color w:val="272F3D"/>
          <w:sz w:val="28"/>
          <w:szCs w:val="28"/>
          <w:lang w:eastAsia="ru-RU"/>
        </w:rPr>
        <w:drawing>
          <wp:inline distT="0" distB="0" distL="0" distR="0" wp14:anchorId="6393D717" wp14:editId="64CB93E1">
            <wp:extent cx="123825" cy="1238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1. Фенол вступает в реакции замещения легче, чем бензол. Замещение идет в орто- и </w:t>
      </w:r>
      <w:proofErr w:type="gramStart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пара-положения</w:t>
      </w:r>
      <w:proofErr w:type="gramEnd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.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Например, для </w:t>
      </w:r>
      <w:proofErr w:type="spellStart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бромирования</w:t>
      </w:r>
      <w:proofErr w:type="spellEnd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 бензола обязательно берется сухой бром и катализатор, а </w:t>
      </w:r>
      <w:proofErr w:type="spellStart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бромирование</w:t>
      </w:r>
      <w:proofErr w:type="spellEnd"/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 xml:space="preserve"> фенола происходит просто при добавлении бромной воды:</w:t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noProof/>
          <w:color w:val="272F3D"/>
          <w:sz w:val="28"/>
          <w:szCs w:val="28"/>
          <w:lang w:eastAsia="ru-RU"/>
        </w:rPr>
        <w:drawing>
          <wp:inline distT="0" distB="0" distL="0" distR="0" wp14:anchorId="39AF7A01" wp14:editId="71D3755B">
            <wp:extent cx="3733800" cy="1981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4B" w:rsidRPr="00DD754B" w:rsidRDefault="00DD754B" w:rsidP="00DD754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</w:pPr>
      <w:r w:rsidRPr="00DD754B">
        <w:rPr>
          <w:rFonts w:ascii="Times New Roman" w:eastAsia="Times New Roman" w:hAnsi="Times New Roman" w:cs="Times New Roman"/>
          <w:color w:val="272F3D"/>
          <w:sz w:val="28"/>
          <w:szCs w:val="28"/>
          <w:lang w:eastAsia="ru-RU"/>
        </w:rPr>
        <w:t>2. Легкое окисление фенола (на воздухе приобретает розовую окраску, образуя полифенолы):</w:t>
      </w:r>
    </w:p>
    <w:p w:rsidR="00C870E6" w:rsidRPr="00DD754B" w:rsidRDefault="00C870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70E6" w:rsidRPr="00DD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4376A"/>
    <w:multiLevelType w:val="multilevel"/>
    <w:tmpl w:val="37F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E3C23"/>
    <w:multiLevelType w:val="multilevel"/>
    <w:tmpl w:val="8C1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011A6"/>
    <w:multiLevelType w:val="multilevel"/>
    <w:tmpl w:val="8814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4B"/>
    <w:rsid w:val="00C870E6"/>
    <w:rsid w:val="00D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61D3"/>
  <w15:chartTrackingRefBased/>
  <w15:docId w15:val="{971ED861-BBB9-4545-9655-04E6E955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О317</dc:creator>
  <cp:keywords/>
  <dc:description/>
  <cp:lastModifiedBy>О317</cp:lastModifiedBy>
  <cp:revision>2</cp:revision>
  <dcterms:created xsi:type="dcterms:W3CDTF">2023-12-14T04:22:00Z</dcterms:created>
  <dcterms:modified xsi:type="dcterms:W3CDTF">2023-12-14T04:25:00Z</dcterms:modified>
</cp:coreProperties>
</file>